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4274" w14:textId="011F6BFD" w:rsidR="001A3C88" w:rsidRDefault="005900E5"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5900E5">
        <w:rPr>
          <w:rFonts w:asciiTheme="minorEastAsia" w:eastAsia="新細明體" w:hAnsiTheme="minorEastAsia" w:hint="eastAsia"/>
          <w:b/>
          <w:sz w:val="44"/>
          <w:szCs w:val="44"/>
          <w:lang w:eastAsia="zh-TW"/>
        </w:rPr>
        <w:t>培訓學員往返交通費報銷說明</w:t>
      </w:r>
    </w:p>
    <w:p w14:paraId="69C5DBEB" w14:textId="77777777" w:rsidR="001A3C88" w:rsidRDefault="001A3C88">
      <w:pPr>
        <w:spacing w:line="6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14:paraId="36FA41AE" w14:textId="60217059" w:rsidR="001A3C88" w:rsidRDefault="005900E5">
      <w:pPr>
        <w:spacing w:line="600" w:lineRule="exact"/>
        <w:ind w:firstLineChars="150" w:firstLine="480"/>
        <w:rPr>
          <w:rFonts w:asciiTheme="minorEastAsia" w:hAnsiTheme="minorEastAsia"/>
          <w:sz w:val="32"/>
          <w:szCs w:val="32"/>
          <w:lang w:eastAsia="zh-TW"/>
        </w:rPr>
      </w:pPr>
      <w:r>
        <w:rPr>
          <w:rFonts w:asciiTheme="minorEastAsia" w:hAnsiTheme="minorEastAsia" w:hint="eastAsia"/>
          <w:sz w:val="32"/>
          <w:szCs w:val="32"/>
          <w:lang w:eastAsia="zh-TW"/>
        </w:rPr>
        <w:t>項目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主體負責承擔學員參加培訓期間往返集中培訓地點的交通費，現將報銷要求說明如下：</w:t>
      </w:r>
    </w:p>
    <w:p w14:paraId="3F6DECFF" w14:textId="13D26530" w:rsidR="001A3C88" w:rsidRDefault="005900E5">
      <w:pPr>
        <w:spacing w:line="600" w:lineRule="exact"/>
        <w:ind w:firstLineChars="200" w:firstLine="641"/>
        <w:rPr>
          <w:rFonts w:asciiTheme="minorEastAsia" w:hAnsiTheme="minorEastAsia"/>
          <w:sz w:val="32"/>
          <w:szCs w:val="32"/>
          <w:lang w:eastAsia="zh-TW"/>
        </w:rPr>
      </w:pPr>
      <w:r w:rsidRPr="005900E5">
        <w:rPr>
          <w:rFonts w:asciiTheme="minorEastAsia" w:eastAsia="新細明體" w:hAnsiTheme="minorEastAsia" w:hint="eastAsia"/>
          <w:b/>
          <w:sz w:val="32"/>
          <w:szCs w:val="32"/>
          <w:lang w:eastAsia="zh-TW"/>
        </w:rPr>
        <w:t>第一條</w:t>
      </w:r>
      <w:r w:rsidRPr="005900E5">
        <w:rPr>
          <w:rFonts w:asciiTheme="minorEastAsia" w:eastAsia="新細明體" w:hAnsiTheme="minorEastAsia"/>
          <w:b/>
          <w:sz w:val="32"/>
          <w:szCs w:val="32"/>
          <w:lang w:eastAsia="zh-TW"/>
        </w:rPr>
        <w:t xml:space="preserve"> 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 xml:space="preserve"> 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交通費報銷範圍為學員由所屬地一次性往返</w:t>
      </w:r>
      <w:r>
        <w:rPr>
          <w:rFonts w:asciiTheme="minorEastAsia" w:hAnsiTheme="minorEastAsia" w:hint="eastAsia"/>
          <w:sz w:val="32"/>
          <w:szCs w:val="32"/>
          <w:lang w:eastAsia="zh-TW"/>
        </w:rPr>
        <w:t>於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集中培訓地點參加培訓產生的城市間交通費用。</w:t>
      </w:r>
    </w:p>
    <w:p w14:paraId="67175274" w14:textId="60BB140E" w:rsidR="001A3C88" w:rsidRDefault="005900E5">
      <w:pPr>
        <w:spacing w:line="600" w:lineRule="exact"/>
        <w:ind w:firstLineChars="200" w:firstLine="641"/>
        <w:rPr>
          <w:rFonts w:asciiTheme="minorEastAsia" w:hAnsiTheme="minorEastAsia"/>
          <w:sz w:val="32"/>
          <w:szCs w:val="32"/>
        </w:rPr>
      </w:pPr>
      <w:r w:rsidRPr="005900E5">
        <w:rPr>
          <w:rFonts w:asciiTheme="minorEastAsia" w:eastAsia="新細明體" w:hAnsiTheme="minorEastAsia" w:hint="eastAsia"/>
          <w:b/>
          <w:sz w:val="32"/>
          <w:szCs w:val="32"/>
          <w:lang w:eastAsia="zh-TW"/>
        </w:rPr>
        <w:t>第二條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 xml:space="preserve">  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學員可乘坐火車、飛機等交通工具往返。</w:t>
      </w:r>
    </w:p>
    <w:p w14:paraId="5AA8421A" w14:textId="2091E7F8" w:rsidR="001A3C88" w:rsidRDefault="005900E5">
      <w:pPr>
        <w:spacing w:line="600" w:lineRule="exact"/>
        <w:ind w:firstLineChars="200" w:firstLine="641"/>
        <w:rPr>
          <w:rFonts w:asciiTheme="minorEastAsia" w:hAnsiTheme="minorEastAsia"/>
          <w:sz w:val="32"/>
          <w:szCs w:val="32"/>
        </w:rPr>
      </w:pPr>
      <w:r w:rsidRPr="005900E5">
        <w:rPr>
          <w:rFonts w:asciiTheme="minorEastAsia" w:eastAsia="新細明體" w:hAnsiTheme="minorEastAsia" w:hint="eastAsia"/>
          <w:b/>
          <w:sz w:val="32"/>
          <w:szCs w:val="32"/>
          <w:lang w:eastAsia="zh-TW"/>
        </w:rPr>
        <w:t>第三條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 xml:space="preserve">  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學員要按照規定乘坐交通工具，憑據報銷交通費。以里程為准，距離集中培訓地點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>1300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公里</w:t>
      </w:r>
      <w:proofErr w:type="gramStart"/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以內，</w:t>
      </w:r>
      <w:proofErr w:type="gramEnd"/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可乘坐高鐵、動車、普通列車【若飛機票價低於火車票價，可征得培訓</w:t>
      </w:r>
      <w:r>
        <w:rPr>
          <w:rFonts w:asciiTheme="minorEastAsia" w:hAnsiTheme="minorEastAsia" w:hint="eastAsia"/>
          <w:sz w:val="32"/>
          <w:szCs w:val="32"/>
          <w:lang w:eastAsia="zh-TW"/>
        </w:rPr>
        <w:t>項目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主體同意後乘坐飛機】；距離集中培訓地點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>1300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公里以上的，且情況特殊的學員可申請乘坐飛機。因經費有限，請學員優先選擇鐵路交通，如選擇乘坐飛機，請儘量選擇折扣機票，並提前向項目主體遞交申請。乘坐</w:t>
      </w:r>
      <w:proofErr w:type="gramStart"/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交通工具艙級的</w:t>
      </w:r>
      <w:proofErr w:type="gramEnd"/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具體規定見下表：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9"/>
        <w:gridCol w:w="1600"/>
        <w:gridCol w:w="2900"/>
      </w:tblGrid>
      <w:tr w:rsidR="001A3C88" w14:paraId="714D250C" w14:textId="77777777">
        <w:trPr>
          <w:trHeight w:val="585"/>
          <w:jc w:val="center"/>
        </w:trPr>
        <w:tc>
          <w:tcPr>
            <w:tcW w:w="3199" w:type="dxa"/>
            <w:vAlign w:val="center"/>
          </w:tcPr>
          <w:p w14:paraId="47F00D88" w14:textId="52008EA2" w:rsidR="001A3C88" w:rsidRDefault="005900E5">
            <w:pPr>
              <w:spacing w:line="600" w:lineRule="exact"/>
              <w:ind w:firstLineChars="200" w:firstLine="641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900E5">
              <w:rPr>
                <w:rFonts w:asciiTheme="minorEastAsia" w:eastAsia="新細明體" w:hAnsiTheme="minorEastAsia" w:hint="eastAsia"/>
                <w:b/>
                <w:sz w:val="32"/>
                <w:szCs w:val="32"/>
                <w:lang w:eastAsia="zh-TW"/>
              </w:rPr>
              <w:t>火車</w:t>
            </w:r>
          </w:p>
        </w:tc>
        <w:tc>
          <w:tcPr>
            <w:tcW w:w="1600" w:type="dxa"/>
            <w:vAlign w:val="center"/>
          </w:tcPr>
          <w:p w14:paraId="123ED743" w14:textId="389AEB1C" w:rsidR="001A3C88" w:rsidRDefault="005900E5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900E5">
              <w:rPr>
                <w:rFonts w:asciiTheme="minorEastAsia" w:eastAsia="新細明體" w:hAnsiTheme="minorEastAsia" w:hint="eastAsia"/>
                <w:b/>
                <w:sz w:val="32"/>
                <w:szCs w:val="32"/>
                <w:lang w:eastAsia="zh-TW"/>
              </w:rPr>
              <w:t>飛機</w:t>
            </w:r>
          </w:p>
        </w:tc>
        <w:tc>
          <w:tcPr>
            <w:tcW w:w="2900" w:type="dxa"/>
            <w:vAlign w:val="center"/>
          </w:tcPr>
          <w:p w14:paraId="04FDAEF6" w14:textId="1DFA25D5" w:rsidR="001A3C88" w:rsidRDefault="005900E5">
            <w:pPr>
              <w:spacing w:line="600" w:lineRule="exact"/>
              <w:ind w:firstLineChars="50" w:firstLine="160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5900E5">
              <w:rPr>
                <w:rFonts w:asciiTheme="minorEastAsia" w:eastAsia="新細明體" w:hAnsiTheme="minorEastAsia" w:hint="eastAsia"/>
                <w:b/>
                <w:sz w:val="32"/>
                <w:szCs w:val="32"/>
                <w:lang w:eastAsia="zh-TW"/>
              </w:rPr>
              <w:t>其他交通工具</w:t>
            </w:r>
          </w:p>
        </w:tc>
      </w:tr>
      <w:tr w:rsidR="001A3C88" w14:paraId="39F2A683" w14:textId="77777777">
        <w:trPr>
          <w:trHeight w:val="780"/>
          <w:jc w:val="center"/>
        </w:trPr>
        <w:tc>
          <w:tcPr>
            <w:tcW w:w="3199" w:type="dxa"/>
            <w:vAlign w:val="center"/>
          </w:tcPr>
          <w:p w14:paraId="3CF835CD" w14:textId="118C7CC7" w:rsidR="001A3C88" w:rsidRDefault="005900E5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5900E5">
              <w:rPr>
                <w:rFonts w:asciiTheme="minorEastAsia" w:eastAsia="新細明體" w:hAnsiTheme="minorEastAsia" w:hint="eastAsia"/>
                <w:sz w:val="28"/>
                <w:szCs w:val="28"/>
                <w:lang w:eastAsia="zh-TW"/>
              </w:rPr>
              <w:t>硬臥，高鐵</w:t>
            </w:r>
            <w:r w:rsidRPr="005900E5">
              <w:rPr>
                <w:rFonts w:asciiTheme="minorEastAsia" w:eastAsia="新細明體" w:hAnsiTheme="minorEastAsia"/>
                <w:sz w:val="28"/>
                <w:szCs w:val="28"/>
                <w:lang w:eastAsia="zh-TW"/>
              </w:rPr>
              <w:t>/</w:t>
            </w:r>
            <w:r w:rsidRPr="005900E5">
              <w:rPr>
                <w:rFonts w:asciiTheme="minorEastAsia" w:eastAsia="新細明體" w:hAnsiTheme="minorEastAsia" w:hint="eastAsia"/>
                <w:sz w:val="28"/>
                <w:szCs w:val="28"/>
                <w:lang w:eastAsia="zh-TW"/>
              </w:rPr>
              <w:t>動車二等座</w:t>
            </w:r>
          </w:p>
        </w:tc>
        <w:tc>
          <w:tcPr>
            <w:tcW w:w="1600" w:type="dxa"/>
            <w:vAlign w:val="center"/>
          </w:tcPr>
          <w:p w14:paraId="4DA2DEA7" w14:textId="4B736CE7" w:rsidR="001A3C88" w:rsidRDefault="005900E5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00E5">
              <w:rPr>
                <w:rFonts w:asciiTheme="minorEastAsia" w:eastAsia="新細明體" w:hAnsiTheme="minorEastAsia" w:hint="eastAsia"/>
                <w:sz w:val="28"/>
                <w:szCs w:val="28"/>
                <w:lang w:eastAsia="zh-TW"/>
              </w:rPr>
              <w:t>經濟艙</w:t>
            </w:r>
          </w:p>
        </w:tc>
        <w:tc>
          <w:tcPr>
            <w:tcW w:w="2900" w:type="dxa"/>
            <w:vAlign w:val="center"/>
          </w:tcPr>
          <w:p w14:paraId="696F4555" w14:textId="107EFEDE" w:rsidR="001A3C88" w:rsidRDefault="005900E5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  <w:r w:rsidRPr="005900E5">
              <w:rPr>
                <w:rFonts w:asciiTheme="minorEastAsia" w:eastAsia="新細明體" w:hAnsiTheme="minorEastAsia" w:hint="eastAsia"/>
                <w:sz w:val="28"/>
                <w:szCs w:val="28"/>
                <w:lang w:eastAsia="zh-TW"/>
              </w:rPr>
              <w:t>長途客車等憑據報銷</w:t>
            </w:r>
          </w:p>
        </w:tc>
      </w:tr>
    </w:tbl>
    <w:p w14:paraId="593E2DCE" w14:textId="039111A8" w:rsidR="001A3C88" w:rsidRDefault="005900E5">
      <w:pPr>
        <w:spacing w:line="6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未按規定乘坐交通工具的，超支部分由個人自理。</w:t>
      </w:r>
    </w:p>
    <w:p w14:paraId="15D36271" w14:textId="468A7CEE" w:rsidR="001A3C88" w:rsidRDefault="005900E5">
      <w:pPr>
        <w:spacing w:line="600" w:lineRule="exact"/>
        <w:ind w:firstLineChars="200" w:firstLine="641"/>
        <w:rPr>
          <w:rFonts w:asciiTheme="minorEastAsia" w:hAnsiTheme="minorEastAsia"/>
          <w:sz w:val="32"/>
          <w:szCs w:val="32"/>
          <w:lang w:eastAsia="zh-TW"/>
        </w:rPr>
      </w:pPr>
      <w:r w:rsidRPr="005900E5">
        <w:rPr>
          <w:rFonts w:asciiTheme="minorEastAsia" w:eastAsia="新細明體" w:hAnsiTheme="minorEastAsia" w:hint="eastAsia"/>
          <w:b/>
          <w:bCs/>
          <w:sz w:val="32"/>
          <w:szCs w:val="32"/>
          <w:lang w:eastAsia="zh-TW"/>
        </w:rPr>
        <w:t>第四條</w:t>
      </w:r>
      <w:r w:rsidRPr="005900E5">
        <w:rPr>
          <w:rFonts w:asciiTheme="minorEastAsia" w:eastAsia="新細明體" w:hAnsiTheme="minorEastAsia"/>
          <w:b/>
          <w:bCs/>
          <w:sz w:val="32"/>
          <w:szCs w:val="32"/>
          <w:lang w:eastAsia="zh-TW"/>
        </w:rPr>
        <w:t xml:space="preserve"> 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 xml:space="preserve"> 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學員</w:t>
      </w:r>
      <w:r>
        <w:rPr>
          <w:rFonts w:asciiTheme="minorEastAsia" w:hAnsiTheme="minorEastAsia" w:hint="eastAsia"/>
          <w:sz w:val="32"/>
          <w:szCs w:val="32"/>
          <w:lang w:eastAsia="zh-TW"/>
        </w:rPr>
        <w:t>於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報到當日提供到達集中培訓地點的單程票據，返程票據請於培訓結束後</w:t>
      </w:r>
      <w:r w:rsidRPr="005900E5">
        <w:rPr>
          <w:rFonts w:asciiTheme="minorEastAsia" w:eastAsia="新細明體" w:hAnsiTheme="minorEastAsia"/>
          <w:sz w:val="32"/>
          <w:szCs w:val="32"/>
          <w:lang w:eastAsia="zh-TW"/>
        </w:rPr>
        <w:t>5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個工作日內郵寄至</w:t>
      </w:r>
      <w:r>
        <w:rPr>
          <w:rFonts w:asciiTheme="minorEastAsia" w:hAnsiTheme="minorEastAsia" w:hint="eastAsia"/>
          <w:sz w:val="32"/>
          <w:szCs w:val="32"/>
          <w:lang w:eastAsia="zh-TW"/>
        </w:rPr>
        <w:t>項目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主體，</w:t>
      </w:r>
      <w:r>
        <w:rPr>
          <w:rFonts w:asciiTheme="minorEastAsia" w:hAnsiTheme="minorEastAsia" w:hint="eastAsia"/>
          <w:sz w:val="32"/>
          <w:szCs w:val="32"/>
          <w:lang w:eastAsia="zh-TW"/>
        </w:rPr>
        <w:t>項目</w:t>
      </w:r>
      <w:r w:rsidRPr="005900E5">
        <w:rPr>
          <w:rFonts w:asciiTheme="minorEastAsia" w:eastAsia="新細明體" w:hAnsiTheme="minorEastAsia" w:hint="eastAsia"/>
          <w:sz w:val="32"/>
          <w:szCs w:val="32"/>
          <w:lang w:eastAsia="zh-TW"/>
        </w:rPr>
        <w:t>主體在收到票據後報銷交通費。</w:t>
      </w:r>
    </w:p>
    <w:p w14:paraId="087C48AA" w14:textId="77777777" w:rsidR="001A3C88" w:rsidRDefault="001A3C88">
      <w:pPr>
        <w:rPr>
          <w:lang w:eastAsia="zh-TW"/>
        </w:rPr>
      </w:pPr>
    </w:p>
    <w:sectPr w:rsidR="001A3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9EDC" w14:textId="77777777" w:rsidR="00945B0E" w:rsidRDefault="00945B0E" w:rsidP="005900E5">
      <w:r>
        <w:separator/>
      </w:r>
    </w:p>
  </w:endnote>
  <w:endnote w:type="continuationSeparator" w:id="0">
    <w:p w14:paraId="0106D833" w14:textId="77777777" w:rsidR="00945B0E" w:rsidRDefault="00945B0E" w:rsidP="0059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652B" w14:textId="77777777" w:rsidR="00945B0E" w:rsidRDefault="00945B0E" w:rsidP="005900E5">
      <w:r>
        <w:separator/>
      </w:r>
    </w:p>
  </w:footnote>
  <w:footnote w:type="continuationSeparator" w:id="0">
    <w:p w14:paraId="4DAD765A" w14:textId="77777777" w:rsidR="00945B0E" w:rsidRDefault="00945B0E" w:rsidP="0059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354AEE"/>
    <w:rsid w:val="001A3C88"/>
    <w:rsid w:val="005900E5"/>
    <w:rsid w:val="00945B0E"/>
    <w:rsid w:val="00B64DFE"/>
    <w:rsid w:val="00EF0059"/>
    <w:rsid w:val="0D354AEE"/>
    <w:rsid w:val="6F7FE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FD89B"/>
  <w15:docId w15:val="{40D9ADE9-5B0E-42C7-92F7-0F10D620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0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900E5"/>
    <w:rPr>
      <w:kern w:val="2"/>
      <w:lang w:eastAsia="zh-CN"/>
    </w:rPr>
  </w:style>
  <w:style w:type="paragraph" w:styleId="a6">
    <w:name w:val="footer"/>
    <w:basedOn w:val="a"/>
    <w:link w:val="a7"/>
    <w:rsid w:val="005900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900E5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易往无黔</dc:creator>
  <cp:lastModifiedBy>Wei Ling, linda (魏玲)</cp:lastModifiedBy>
  <cp:revision>2</cp:revision>
  <dcterms:created xsi:type="dcterms:W3CDTF">2026-03-10T11:27:00Z</dcterms:created>
  <dcterms:modified xsi:type="dcterms:W3CDTF">2026-05-18T04:02:00Z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9B2054D1FCAF4F74877E162BD95937F3_11</vt:lpwstr>
  </property>
  <property fmtid="{D5CDD505-2E9C-101B-9397-08002B2CF9AE}" pid="4" name="KSOTemplateDocerSaveRecord">
    <vt:lpwstr>eyJoZGlkIjoiZTBkZTM5NGNhZGQwZDdhYzQ2YjgxYTAyOWRkMjMwZWIiLCJ1c2VySWQiOiIzMDI0MTA1NTcifQ==</vt:lpwstr>
  </property>
</Properties>
</file>